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lang w:eastAsia="zh-Hans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《滨海新区知识产权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Hans"/>
        </w:rPr>
        <w:t>融资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Hans"/>
        </w:rPr>
        <w:t>风险补偿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资金管理办法（</w:t>
      </w:r>
      <w:r>
        <w:rPr>
          <w:rFonts w:ascii="Times New Roman" w:hAnsi="Times New Roman" w:eastAsia="方正小标宋简体" w:cs="Times New Roman"/>
          <w:kern w:val="0"/>
          <w:sz w:val="44"/>
          <w:szCs w:val="44"/>
          <w:lang w:eastAsia="zh-Hans"/>
        </w:rPr>
        <w:t>征求意见稿）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》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Hans"/>
        </w:rPr>
        <w:t>起草说明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现就《滨海新区知识产权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融资风险补偿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资金管理办法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征求意见稿）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起草说明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2020年6月，滨海新区被国家财政部、国家知识产权局确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为全国知识产权运营服务体系建设重点城市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完善知识产权质押融资风险共担机制，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提高资金使用效益，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推动知识产权质押融资工作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2021年9月，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滨海新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区市场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监督管理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局（知识产权局）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起草了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《滨海新区知识产权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融资风险补偿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资金管理办法（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征求意见稿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）》。办法分为总则、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资金使用、资金管理、机构监管、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附则共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十一条。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文件依据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《关于做好2020年知识产权运营服务体系建设工作的通知》（财办建〔2020〕40号）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《关于进一步加强知识产权质押融资工作的通知》（银保监发〔2019〕34号）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《天津市滨海新区知识产权运营服务体系建设实施方案（2020-2023）》（津滨政办发〔2020〕27号）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《天津市滨海新区知识产权运营服务体系建设专项资金管理办法》（津滨市场监管〔2021〕5 号）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ascii="黑体" w:hAnsi="黑体" w:eastAsia="黑体" w:cs="黑体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重点内容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sz w:val="32"/>
          <w:szCs w:val="32"/>
          <w:lang w:eastAsia="zh-Hans"/>
        </w:rPr>
        <w:t>主要分为六大方面内容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Hans"/>
        </w:rPr>
        <w:t>一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Hans"/>
        </w:rPr>
        <w:t>总则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明确风险补偿资金的来源、用途、适用范围及使用原则等内容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Hans"/>
        </w:rPr>
        <w:t>（二）资金使用：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明确风险补偿资金运作模式、风险补偿项目的风险共担、暂停机制，风险补偿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的申请及追偿，风险补偿资金的退出机制，以及风险管控等内容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Hans"/>
        </w:rPr>
        <w:t>（三）资金管理：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知识产权局作为风险补偿资金的主管单位和对应职责；明确由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区财政局对资金的保障监管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明确合作机构工作职责及收费标准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Hans"/>
        </w:rPr>
        <w:t>（四）机构监管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Hans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明确对风险补偿资金、风险补偿项目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和各合作机构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的监督管理等内容。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Hans"/>
        </w:rPr>
        <w:t>五）附则：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明确风险补偿资金实施期限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四、解读机关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文本解读机关：滨海新区市场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监督管理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局（知识产权局）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F2342"/>
    <w:rsid w:val="00143D1B"/>
    <w:rsid w:val="002A32DC"/>
    <w:rsid w:val="00450515"/>
    <w:rsid w:val="07F9086D"/>
    <w:rsid w:val="09A03543"/>
    <w:rsid w:val="33A80153"/>
    <w:rsid w:val="440957F7"/>
    <w:rsid w:val="495A1867"/>
    <w:rsid w:val="709F061D"/>
    <w:rsid w:val="E7ADE3D5"/>
    <w:rsid w:val="FBFD44B9"/>
    <w:rsid w:val="FF3F2342"/>
    <w:rsid w:val="FF9DF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698</Words>
  <Characters>58</Characters>
  <Lines>1</Lines>
  <Paragraphs>1</Paragraphs>
  <TotalTime>0</TotalTime>
  <ScaleCrop>false</ScaleCrop>
  <LinksUpToDate>false</LinksUpToDate>
  <CharactersWithSpaces>755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2021-09-10T07:42:00Z</dcterms:created>
  <dc:creator>王超</dc:creator>
  <cp:lastModifiedBy>wulong</cp:lastModifiedBy>
  <cp:lastPrinted>2021-09-10T08:57:00Z</cp:lastPrinted>
  <dcterms:modified xsi:type="dcterms:W3CDTF">2021-09-10T06:05:02Z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